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Government-Approved Inter-Family Loan Rates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Logic might tell you that any loans you make to family members would be a personal matter, without requiring the government to get involved.  But whenever has the tax code followed logic?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 key issue to remember, with the Internal Revenue Service involvement in family loans, is that the IRS wants to be able to calculate gift taxes against the amount you would ultimately owe in estate taxes when you pass on assets to your heirs.  If you were to make a no-interest loan to a son or daughter, the IRS would count the amount of interest you would be foregoing as a gift.  If you DO charge interest, the amount of interest would need to be reasonable in the eyes of the government.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What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reasonable?  The government monitors interest rate movements in the marketplace, and calculates minimum applicable federal rates (AFR) for loans covering different time periods, posting them on its website.  (You can find this month</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rates here: </w:t>
      </w: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"https://www.irs.gov/pub/irs-drop/rr-21-16.pdf"</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14:textFill>
            <w14:solidFill>
              <w14:srgbClr w14:val="1A1A1A"/>
            </w14:solidFill>
          </w14:textFill>
        </w:rPr>
        <w:t>https://www.irs.gov/pub/irs-drop/rr-21-16.pdf</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lang w:val="en-US"/>
          <w14:textFill>
            <w14:solidFill>
              <w14:srgbClr w14:val="1A1A1A"/>
            </w14:solidFill>
          </w14:textFill>
        </w:rPr>
        <w:t>).  If you charge family members or heirs less than this rate, then the government would calculate the difference, and that would be counted as a gift to the family member to whom you made the loan.</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These rates are pretty low: a short-term AFR (up to 3 years) in September 2021 is 0.17%; the AFR on loans of 3-9 years is 0.86%, and anything over 9 years would have a rate of 1.71% to 1.73%, depending on whether the interest is being paid back yearly, quarterly or monthly.</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Note that these rules don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apply to loans of less than $10,000 that are not used to purchase income-producing property.  And if you don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want to go through the hassle of charging interest, you could always calculate (or have a professional calculate) the implied interest payments, and then offset that amount with your $15,000 annual gift exemption to the borrower.  But even then, it</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a good idea to document the terms and stated interest rate in case the IRS ever decides to come back and do an audit.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"https://tips.resourcesforclients.com/T74ctGwcsp3d/5749"</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https://tips.resourcesforclients.com/T74ctGwcsp3d/5749</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