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Return of Local Manufacturing</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 xml:space="preserve">Some economists have suggested that the global economy made a significant shift due to the rippling effects of the ongoing pandemic, which exposed some of the risks of the way manufacturing has been conducted for the past 20 years.  At issue is globalization, which can be broadly defined as wealthy countries in North America and Europe applying their technology but outsourcing the manual part of their assembly to low-cost labor markets like China and Mexico.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most visible impact of this arrangement was the loss of manufacturing jobs in high-labor-cost countries like America and in Europe.  In the U.S., there were 19.6 million manufacturing jobs in 1979, compared with 12.6 million now.  This, in turn, gave companies the power to squeeze salaries across the economy</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which is most visible in the dramatic decline in private sector unionization.  Union workers represented 24% of payrolls in 1973; today that figure is 6.1%.</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When Covid hit, the complicated supply chains that made globalization possible either collapsed or were significantly disrupted, and then came Russia</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invasion of Ukraine.  I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a nice savings if a chip maker can outsource assembly to Taiwan, to workers who make 66% of what they would have to pay a comparable American. But it becomes a bigger expense if the delivery of the finished chips is delayed or disrupted.</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shift that is quietly becoming an economic topic of conversation is not about the end of globalization, but instead a movement to bring manufacturing back from Asia closer to home, to Mexico or to some of the U.S. states hardest hit by the movement to outsource manufacturing.  Workers in North America can expect to be in higher demand and be paid more than they have been in recent decades.  Yes, this will cause prices to go up, but it will protect U.S. and European manufacturing from sudden, painful disruptions in their supply chain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ource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advisorperspectives.com/articles/2022/04/12/eleven-themes-for-the-new-global-economy-part-1"</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www.advisorperspectives.com/articles/2022/04/12/eleven-themes-for-the-new-global-economy-part-1</w:t>
      </w:r>
      <w:r>
        <w:rPr>
          <w:outline w:val="0"/>
          <w:color w:val="101010"/>
          <w:sz w:val="28"/>
          <w:szCs w:val="28"/>
          <w:rtl w:val="0"/>
          <w14:textFill>
            <w14:solidFill>
              <w14:srgbClr w14:val="101010"/>
            </w14:solidFill>
          </w14:textFill>
        </w:rPr>
        <w:fldChar w:fldCharType="end" w:fldLock="0"/>
      </w:r>
      <w:r>
        <w:rPr>
          <w:outline w:val="0"/>
          <w:color w:val="101010"/>
          <w:sz w:val="28"/>
          <w:szCs w:val="28"/>
          <w:rtl w:val="0"/>
          <w:lang w:val="en-US"/>
          <w14:textFill>
            <w14:solidFill>
              <w14:srgbClr w14:val="101010"/>
            </w14:solidFill>
          </w14:textFill>
        </w:rPr>
        <w:t xml:space="preserve">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advisorperspectives.com/articles/2022/04/13/eleven-themes-for-the-new-global-economy-part-2"</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www.advisorperspectives.com/articles/2022/04/13/eleven-themes-for-the-new-global-economy-part-2</w:t>
      </w:r>
      <w:r>
        <w:rPr>
          <w:outline w:val="0"/>
          <w:color w:val="101010"/>
          <w:sz w:val="28"/>
          <w:szCs w:val="28"/>
          <w:rtl w:val="0"/>
          <w14:textFill>
            <w14:solidFill>
              <w14:srgbClr w14:val="101010"/>
            </w14:solidFill>
          </w14:textFill>
        </w:rPr>
        <w:fldChar w:fldCharType="end" w:fldLock="0"/>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rtl w:val="0"/>
        </w:rPr>
      </w:pPr>
      <w:r>
        <w:rPr>
          <w:outline w:val="0"/>
          <w:color w:val="101010"/>
          <w:sz w:val="28"/>
          <w:szCs w:val="28"/>
          <w:rtl w:val="0"/>
          <w:lang w:val="en-US"/>
          <w14:textFill>
            <w14:solidFill>
              <w14:srgbClr w14:val="101010"/>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